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F65A" w14:textId="77777777" w:rsidR="008554FD" w:rsidRDefault="008554FD">
      <w:pPr>
        <w:pStyle w:val="Title"/>
        <w:rPr>
          <w:color w:val="1F3863"/>
        </w:rPr>
      </w:pPr>
    </w:p>
    <w:p w14:paraId="7250EAEF" w14:textId="3289A121" w:rsidR="000E60A2" w:rsidRDefault="00A6180D" w:rsidP="00A651BB">
      <w:pPr>
        <w:pStyle w:val="Title"/>
        <w:jc w:val="center"/>
      </w:pPr>
      <w:r>
        <w:rPr>
          <w:color w:val="1F3863"/>
        </w:rPr>
        <w:t>Omega-3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supplements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women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low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omega-3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fatty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acid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2"/>
        </w:rPr>
        <w:t>status</w:t>
      </w:r>
    </w:p>
    <w:p w14:paraId="34549E1F" w14:textId="1688653A" w:rsidR="00ED5FFA" w:rsidRDefault="00A6180D" w:rsidP="00470AB7">
      <w:pPr>
        <w:pStyle w:val="BodyText"/>
        <w:spacing w:before="247" w:line="235" w:lineRule="auto"/>
        <w:ind w:left="2" w:right="82"/>
      </w:pPr>
      <w:r w:rsidRPr="00DE56F2">
        <w:t>Please</w:t>
      </w:r>
      <w:r w:rsidRPr="00DE56F2">
        <w:rPr>
          <w:spacing w:val="-13"/>
        </w:rPr>
        <w:t xml:space="preserve"> </w:t>
      </w:r>
      <w:r w:rsidR="00297A13" w:rsidRPr="00DE56F2">
        <w:t>see below, a</w:t>
      </w:r>
      <w:r w:rsidRPr="00DE56F2">
        <w:rPr>
          <w:spacing w:val="-15"/>
        </w:rPr>
        <w:t xml:space="preserve"> </w:t>
      </w:r>
      <w:r w:rsidRPr="00DE56F2">
        <w:t>list</w:t>
      </w:r>
      <w:r w:rsidRPr="00DE56F2">
        <w:rPr>
          <w:spacing w:val="-10"/>
        </w:rPr>
        <w:t xml:space="preserve"> </w:t>
      </w:r>
      <w:r w:rsidRPr="00DE56F2">
        <w:t>of</w:t>
      </w:r>
      <w:r w:rsidRPr="00DE56F2">
        <w:rPr>
          <w:spacing w:val="-13"/>
        </w:rPr>
        <w:t xml:space="preserve"> </w:t>
      </w:r>
      <w:r w:rsidRPr="00DE56F2">
        <w:t>commonly</w:t>
      </w:r>
      <w:r w:rsidRPr="00DE56F2">
        <w:rPr>
          <w:spacing w:val="-8"/>
        </w:rPr>
        <w:t xml:space="preserve"> </w:t>
      </w:r>
      <w:r w:rsidRPr="00DE56F2">
        <w:t>available</w:t>
      </w:r>
      <w:r w:rsidRPr="00DE56F2">
        <w:rPr>
          <w:spacing w:val="-8"/>
        </w:rPr>
        <w:t xml:space="preserve"> </w:t>
      </w:r>
      <w:r w:rsidRPr="00DE56F2">
        <w:t>supplements</w:t>
      </w:r>
      <w:r w:rsidRPr="00DE56F2">
        <w:rPr>
          <w:spacing w:val="-10"/>
        </w:rPr>
        <w:t xml:space="preserve"> </w:t>
      </w:r>
      <w:r w:rsidRPr="00DE56F2">
        <w:t>if</w:t>
      </w:r>
      <w:r w:rsidRPr="00DE56F2">
        <w:rPr>
          <w:spacing w:val="-13"/>
        </w:rPr>
        <w:t xml:space="preserve"> </w:t>
      </w:r>
      <w:r w:rsidRPr="00DE56F2">
        <w:t>you</w:t>
      </w:r>
      <w:r w:rsidRPr="00DE56F2">
        <w:rPr>
          <w:spacing w:val="-8"/>
        </w:rPr>
        <w:t xml:space="preserve"> </w:t>
      </w:r>
      <w:r w:rsidRPr="00DE56F2">
        <w:t>are</w:t>
      </w:r>
      <w:r w:rsidRPr="00DE56F2">
        <w:rPr>
          <w:spacing w:val="-8"/>
        </w:rPr>
        <w:t xml:space="preserve"> </w:t>
      </w:r>
      <w:r w:rsidRPr="00DE56F2">
        <w:t>‘low’</w:t>
      </w:r>
      <w:r w:rsidRPr="00DE56F2">
        <w:rPr>
          <w:spacing w:val="-10"/>
        </w:rPr>
        <w:t xml:space="preserve"> </w:t>
      </w:r>
      <w:r w:rsidRPr="00DE56F2">
        <w:t>in</w:t>
      </w:r>
      <w:r w:rsidRPr="00DE56F2">
        <w:rPr>
          <w:spacing w:val="-8"/>
        </w:rPr>
        <w:t xml:space="preserve"> </w:t>
      </w:r>
      <w:r w:rsidRPr="00DE56F2">
        <w:t>omega-3</w:t>
      </w:r>
      <w:r w:rsidRPr="00DE56F2">
        <w:rPr>
          <w:spacing w:val="-8"/>
        </w:rPr>
        <w:t xml:space="preserve"> </w:t>
      </w:r>
      <w:r w:rsidRPr="00DE56F2">
        <w:t>(less</w:t>
      </w:r>
      <w:r w:rsidRPr="00DE56F2">
        <w:rPr>
          <w:spacing w:val="-10"/>
        </w:rPr>
        <w:t xml:space="preserve"> </w:t>
      </w:r>
      <w:r w:rsidRPr="00DE56F2">
        <w:t>than</w:t>
      </w:r>
      <w:r w:rsidRPr="00DE56F2">
        <w:rPr>
          <w:spacing w:val="-13"/>
        </w:rPr>
        <w:t xml:space="preserve"> </w:t>
      </w:r>
      <w:r w:rsidRPr="00DE56F2">
        <w:t>3.7%)</w:t>
      </w:r>
      <w:r w:rsidRPr="00DE56F2">
        <w:rPr>
          <w:spacing w:val="-10"/>
        </w:rPr>
        <w:t xml:space="preserve"> </w:t>
      </w:r>
      <w:r w:rsidRPr="00DE56F2">
        <w:t>and</w:t>
      </w:r>
      <w:r w:rsidRPr="00DE56F2">
        <w:rPr>
          <w:spacing w:val="-8"/>
        </w:rPr>
        <w:t xml:space="preserve"> </w:t>
      </w:r>
      <w:r w:rsidRPr="00DE56F2">
        <w:t>your</w:t>
      </w:r>
      <w:r w:rsidRPr="00DE56F2">
        <w:rPr>
          <w:spacing w:val="-8"/>
        </w:rPr>
        <w:t xml:space="preserve"> </w:t>
      </w:r>
      <w:r w:rsidRPr="00DE56F2">
        <w:t>health</w:t>
      </w:r>
      <w:r w:rsidRPr="00DE56F2">
        <w:rPr>
          <w:spacing w:val="-8"/>
        </w:rPr>
        <w:t xml:space="preserve"> </w:t>
      </w:r>
      <w:r w:rsidRPr="00DE56F2">
        <w:t>professional</w:t>
      </w:r>
      <w:r w:rsidRPr="00DE56F2">
        <w:rPr>
          <w:spacing w:val="-13"/>
        </w:rPr>
        <w:t xml:space="preserve"> </w:t>
      </w:r>
      <w:r w:rsidRPr="00DE56F2">
        <w:t>has recommended taking</w:t>
      </w:r>
      <w:r w:rsidRPr="00DE56F2">
        <w:rPr>
          <w:spacing w:val="-1"/>
        </w:rPr>
        <w:t xml:space="preserve"> </w:t>
      </w:r>
      <w:r w:rsidRPr="00DE56F2">
        <w:t>omega-3 supplements</w:t>
      </w:r>
      <w:r w:rsidRPr="00DE56F2">
        <w:rPr>
          <w:spacing w:val="-1"/>
        </w:rPr>
        <w:t xml:space="preserve"> </w:t>
      </w:r>
      <w:r w:rsidRPr="00DE56F2">
        <w:t>(fish</w:t>
      </w:r>
      <w:r w:rsidRPr="00DE56F2">
        <w:rPr>
          <w:spacing w:val="-4"/>
        </w:rPr>
        <w:t xml:space="preserve"> </w:t>
      </w:r>
      <w:r w:rsidRPr="00DE56F2">
        <w:t>oil or algal oil)</w:t>
      </w:r>
      <w:r w:rsidRPr="00DE56F2">
        <w:rPr>
          <w:spacing w:val="-1"/>
        </w:rPr>
        <w:t xml:space="preserve"> </w:t>
      </w:r>
      <w:r w:rsidRPr="00DE56F2">
        <w:t>to</w:t>
      </w:r>
      <w:r w:rsidRPr="00DE56F2">
        <w:rPr>
          <w:spacing w:val="-1"/>
        </w:rPr>
        <w:t xml:space="preserve"> </w:t>
      </w:r>
      <w:r w:rsidRPr="00DE56F2">
        <w:t>reduce your risk of a</w:t>
      </w:r>
      <w:r w:rsidRPr="00DE56F2">
        <w:rPr>
          <w:spacing w:val="-1"/>
        </w:rPr>
        <w:t xml:space="preserve"> </w:t>
      </w:r>
      <w:r w:rsidRPr="00DE56F2">
        <w:t>premature</w:t>
      </w:r>
      <w:r w:rsidRPr="00DE56F2">
        <w:rPr>
          <w:spacing w:val="-4"/>
        </w:rPr>
        <w:t xml:space="preserve"> </w:t>
      </w:r>
      <w:r w:rsidRPr="00DE56F2">
        <w:t>birth.</w:t>
      </w:r>
      <w:r w:rsidR="00851348" w:rsidRPr="00DE56F2">
        <w:t xml:space="preserve"> The suggested dose: 800 mg DHA and 100 mg EPA per day until 37 weeks</w:t>
      </w:r>
      <w:r w:rsidR="00470AB7" w:rsidRPr="003A19A0">
        <w:t xml:space="preserve"> gestation</w:t>
      </w:r>
      <w:r w:rsidR="00851348" w:rsidRPr="00DE56F2">
        <w:t>.</w:t>
      </w:r>
      <w:r w:rsidR="00AB030B" w:rsidRPr="00DE56F2">
        <w:t xml:space="preserve"> </w:t>
      </w:r>
      <w:r w:rsidR="00470AB7" w:rsidRPr="00DE56F2">
        <w:t>All products are included on the Australian Register of Therapeutic Goods (ARTG) maintained by the Therapeutic Goods Administration (TGA)</w:t>
      </w:r>
      <w:r w:rsidR="006F6781">
        <w:t>:</w:t>
      </w:r>
      <w:r w:rsidR="00470AB7" w:rsidRPr="00DE56F2">
        <w:t xml:space="preserve"> </w:t>
      </w:r>
      <w:hyperlink r:id="rId7" w:history="1">
        <w:r w:rsidR="00470AB7" w:rsidRPr="00DE56F2">
          <w:rPr>
            <w:rStyle w:val="Hyperlink"/>
          </w:rPr>
          <w:t>https://www.tga.gov.au/resources/australian-register-therapeutic-goods-artg</w:t>
        </w:r>
      </w:hyperlink>
      <w:r w:rsidR="00470AB7" w:rsidRPr="00DE56F2">
        <w:t xml:space="preserve">. </w:t>
      </w:r>
    </w:p>
    <w:p w14:paraId="57A870F3" w14:textId="5DA6AAAF" w:rsidR="00BE16B3" w:rsidRPr="00DE56F2" w:rsidRDefault="00ED5FFA" w:rsidP="00470AB7">
      <w:pPr>
        <w:pStyle w:val="BodyText"/>
        <w:spacing w:before="247" w:line="235" w:lineRule="auto"/>
        <w:ind w:left="2" w:right="82"/>
      </w:pPr>
      <w:r>
        <w:t>Please note</w:t>
      </w:r>
      <w:r w:rsidR="00EF2FEF">
        <w:t xml:space="preserve"> that</w:t>
      </w:r>
      <w:r>
        <w:t xml:space="preserve"> this </w:t>
      </w:r>
      <w:r w:rsidRPr="00DE56F2">
        <w:t>list is not exhaustive</w:t>
      </w:r>
      <w:r>
        <w:t xml:space="preserve"> and </w:t>
      </w:r>
      <w:r w:rsidR="00A960A9" w:rsidRPr="00DE56F2">
        <w:t>SAHMRI does n</w:t>
      </w:r>
      <w:r w:rsidR="00470AB7" w:rsidRPr="00DE56F2">
        <w:t>ot endorse specific brands.</w:t>
      </w:r>
      <w:r w:rsidR="009F4B7B" w:rsidRPr="00DE56F2">
        <w:t xml:space="preserve"> </w:t>
      </w:r>
    </w:p>
    <w:p w14:paraId="4A8A79CC" w14:textId="19C615E2" w:rsidR="000E60A2" w:rsidRPr="00B115FC" w:rsidRDefault="00876013">
      <w:pPr>
        <w:pStyle w:val="BodyText"/>
        <w:spacing w:before="264"/>
        <w:ind w:left="2"/>
      </w:pPr>
      <w:r>
        <w:t>Suggested s</w:t>
      </w:r>
      <w:r w:rsidR="00A6180D" w:rsidRPr="00DE56F2">
        <w:t>upplements</w:t>
      </w:r>
      <w:r w:rsidR="00A6180D" w:rsidRPr="00DE56F2">
        <w:rPr>
          <w:spacing w:val="-7"/>
        </w:rPr>
        <w:t xml:space="preserve"> </w:t>
      </w:r>
      <w:r w:rsidR="00A6180D" w:rsidRPr="00DE56F2">
        <w:t>and</w:t>
      </w:r>
      <w:r w:rsidR="00A6180D" w:rsidRPr="00DE56F2">
        <w:rPr>
          <w:spacing w:val="-9"/>
        </w:rPr>
        <w:t xml:space="preserve"> </w:t>
      </w:r>
      <w:r w:rsidR="00A6180D" w:rsidRPr="00DE56F2">
        <w:t>pricing</w:t>
      </w:r>
      <w:r w:rsidR="00A6180D" w:rsidRPr="00DE56F2">
        <w:rPr>
          <w:spacing w:val="-7"/>
        </w:rPr>
        <w:t xml:space="preserve"> </w:t>
      </w:r>
      <w:r w:rsidR="009F4B7B" w:rsidRPr="00DE56F2">
        <w:t>a</w:t>
      </w:r>
      <w:r w:rsidR="00A6180D" w:rsidRPr="00DE56F2">
        <w:t>s</w:t>
      </w:r>
      <w:r w:rsidR="00A6180D" w:rsidRPr="00DE56F2">
        <w:rPr>
          <w:spacing w:val="-7"/>
        </w:rPr>
        <w:t xml:space="preserve"> </w:t>
      </w:r>
      <w:r w:rsidR="00831D37" w:rsidRPr="00DE56F2">
        <w:t>of</w:t>
      </w:r>
      <w:r w:rsidR="00831D37" w:rsidRPr="00DE56F2">
        <w:rPr>
          <w:spacing w:val="-5"/>
        </w:rPr>
        <w:t xml:space="preserve"> </w:t>
      </w:r>
      <w:r w:rsidR="00554370" w:rsidRPr="00DE56F2">
        <w:t>16</w:t>
      </w:r>
      <w:r w:rsidR="00831D37" w:rsidRPr="00DE56F2">
        <w:t>-10-2025.</w:t>
      </w:r>
    </w:p>
    <w:p w14:paraId="3D6F58A2" w14:textId="77777777" w:rsidR="000E60A2" w:rsidRDefault="000E60A2">
      <w:pPr>
        <w:pStyle w:val="BodyText"/>
        <w:spacing w:before="64"/>
        <w:rPr>
          <w:sz w:val="20"/>
        </w:rPr>
      </w:pPr>
    </w:p>
    <w:tbl>
      <w:tblPr>
        <w:tblW w:w="1536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2444"/>
        <w:gridCol w:w="2154"/>
        <w:gridCol w:w="2154"/>
        <w:gridCol w:w="2154"/>
        <w:gridCol w:w="2154"/>
        <w:gridCol w:w="2154"/>
      </w:tblGrid>
      <w:tr w:rsidR="00E46B8F" w14:paraId="337C47E9" w14:textId="79C262B9" w:rsidTr="004E3327">
        <w:trPr>
          <w:trHeight w:val="926"/>
          <w:tblHeader/>
          <w:jc w:val="center"/>
        </w:trPr>
        <w:tc>
          <w:tcPr>
            <w:tcW w:w="2154" w:type="dxa"/>
            <w:shd w:val="clear" w:color="auto" w:fill="5B9BD4"/>
            <w:vAlign w:val="center"/>
          </w:tcPr>
          <w:p w14:paraId="73A80A4D" w14:textId="77777777" w:rsidR="00E46B8F" w:rsidRPr="008972ED" w:rsidRDefault="00E46B8F" w:rsidP="004E3327">
            <w:pPr>
              <w:pStyle w:val="TableParagraph"/>
              <w:spacing w:before="0"/>
              <w:ind w:left="520" w:right="237" w:hanging="295"/>
              <w:jc w:val="center"/>
              <w:rPr>
                <w:b/>
                <w:bCs/>
                <w:sz w:val="21"/>
              </w:rPr>
            </w:pPr>
            <w:r w:rsidRPr="008972ED">
              <w:rPr>
                <w:b/>
                <w:bCs/>
                <w:color w:val="FFFFFF"/>
                <w:spacing w:val="-2"/>
                <w:sz w:val="21"/>
              </w:rPr>
              <w:t xml:space="preserve">Supplement </w:t>
            </w:r>
            <w:r w:rsidRPr="008972ED">
              <w:rPr>
                <w:b/>
                <w:bCs/>
                <w:color w:val="FFFFFF"/>
                <w:spacing w:val="-4"/>
                <w:sz w:val="21"/>
              </w:rPr>
              <w:t>name</w:t>
            </w:r>
          </w:p>
        </w:tc>
        <w:tc>
          <w:tcPr>
            <w:tcW w:w="2444" w:type="dxa"/>
            <w:shd w:val="clear" w:color="auto" w:fill="5B9BD4"/>
            <w:vAlign w:val="center"/>
          </w:tcPr>
          <w:p w14:paraId="04EA5454" w14:textId="772BB89B" w:rsidR="00E46B8F" w:rsidRPr="008972ED" w:rsidRDefault="00D3316B" w:rsidP="004E3327">
            <w:pPr>
              <w:pStyle w:val="TableParagraph"/>
              <w:spacing w:before="0"/>
              <w:ind w:right="8"/>
              <w:jc w:val="center"/>
              <w:rPr>
                <w:b/>
                <w:bCs/>
                <w:color w:val="FFFFFF"/>
                <w:spacing w:val="-2"/>
                <w:sz w:val="21"/>
              </w:rPr>
            </w:pPr>
            <w:r>
              <w:rPr>
                <w:b/>
                <w:bCs/>
                <w:color w:val="FFFFFF"/>
                <w:spacing w:val="-2"/>
                <w:sz w:val="21"/>
              </w:rPr>
              <w:t>Image</w:t>
            </w:r>
          </w:p>
        </w:tc>
        <w:tc>
          <w:tcPr>
            <w:tcW w:w="2154" w:type="dxa"/>
            <w:shd w:val="clear" w:color="auto" w:fill="5B9BD4"/>
            <w:vAlign w:val="center"/>
          </w:tcPr>
          <w:p w14:paraId="6B4A31FD" w14:textId="1872BDDC" w:rsidR="00E46B8F" w:rsidRPr="008972ED" w:rsidRDefault="00E46B8F" w:rsidP="004E3327">
            <w:pPr>
              <w:pStyle w:val="TableParagraph"/>
              <w:spacing w:before="0"/>
              <w:ind w:right="8"/>
              <w:jc w:val="center"/>
              <w:rPr>
                <w:b/>
                <w:bCs/>
                <w:sz w:val="21"/>
              </w:rPr>
            </w:pPr>
            <w:r w:rsidRPr="008972ED">
              <w:rPr>
                <w:b/>
                <w:bCs/>
                <w:color w:val="FFFFFF"/>
                <w:spacing w:val="-2"/>
                <w:sz w:val="21"/>
              </w:rPr>
              <w:t>Comments</w:t>
            </w:r>
          </w:p>
        </w:tc>
        <w:tc>
          <w:tcPr>
            <w:tcW w:w="2154" w:type="dxa"/>
            <w:shd w:val="clear" w:color="auto" w:fill="5B9BD4"/>
            <w:vAlign w:val="center"/>
          </w:tcPr>
          <w:p w14:paraId="186C97DF" w14:textId="5F4251E5" w:rsidR="00E46B8F" w:rsidRPr="008972ED" w:rsidRDefault="00E46B8F" w:rsidP="004E3327">
            <w:pPr>
              <w:pStyle w:val="TableParagraph"/>
              <w:spacing w:before="0"/>
              <w:ind w:left="460" w:right="298" w:hanging="460"/>
              <w:jc w:val="center"/>
              <w:rPr>
                <w:b/>
                <w:bCs/>
                <w:sz w:val="21"/>
              </w:rPr>
            </w:pPr>
            <w:r w:rsidRPr="008972ED">
              <w:rPr>
                <w:b/>
                <w:bCs/>
                <w:color w:val="FFFFFF"/>
                <w:sz w:val="21"/>
              </w:rPr>
              <w:t>Our</w:t>
            </w:r>
            <w:r w:rsidRPr="008972ED">
              <w:rPr>
                <w:b/>
                <w:bCs/>
                <w:color w:val="FFFFFF"/>
                <w:spacing w:val="-15"/>
                <w:sz w:val="21"/>
              </w:rPr>
              <w:t xml:space="preserve"> </w:t>
            </w:r>
            <w:r w:rsidRPr="008972ED">
              <w:rPr>
                <w:b/>
                <w:bCs/>
                <w:color w:val="FFFFFF"/>
                <w:sz w:val="21"/>
              </w:rPr>
              <w:t>suggested</w:t>
            </w:r>
            <w:r w:rsidR="00F4004F">
              <w:rPr>
                <w:b/>
                <w:bCs/>
                <w:color w:val="FFFFFF"/>
                <w:sz w:val="21"/>
              </w:rPr>
              <w:t xml:space="preserve"> </w:t>
            </w:r>
            <w:r w:rsidRPr="008972ED">
              <w:rPr>
                <w:b/>
                <w:bCs/>
                <w:color w:val="FFFFFF"/>
                <w:spacing w:val="-4"/>
                <w:sz w:val="21"/>
              </w:rPr>
              <w:t>dose</w:t>
            </w:r>
          </w:p>
        </w:tc>
        <w:tc>
          <w:tcPr>
            <w:tcW w:w="2154" w:type="dxa"/>
            <w:shd w:val="clear" w:color="auto" w:fill="5B9BD4"/>
            <w:vAlign w:val="center"/>
          </w:tcPr>
          <w:p w14:paraId="190AFB4A" w14:textId="77777777" w:rsidR="00E46B8F" w:rsidRPr="008972ED" w:rsidRDefault="00E46B8F" w:rsidP="004E3327">
            <w:pPr>
              <w:pStyle w:val="TableParagraph"/>
              <w:spacing w:before="0"/>
              <w:ind w:left="113" w:right="112"/>
              <w:jc w:val="center"/>
              <w:rPr>
                <w:b/>
                <w:bCs/>
                <w:sz w:val="21"/>
              </w:rPr>
            </w:pPr>
            <w:r w:rsidRPr="008972ED">
              <w:rPr>
                <w:b/>
                <w:bCs/>
                <w:color w:val="FFFFFF"/>
                <w:spacing w:val="-2"/>
                <w:sz w:val="21"/>
              </w:rPr>
              <w:t>DHA&amp;EPA*</w:t>
            </w:r>
          </w:p>
          <w:p w14:paraId="5556FEFA" w14:textId="77777777" w:rsidR="00E46B8F" w:rsidRPr="008972ED" w:rsidRDefault="00E46B8F" w:rsidP="004E3327">
            <w:pPr>
              <w:pStyle w:val="TableParagraph"/>
              <w:spacing w:before="0"/>
              <w:ind w:left="113" w:right="110"/>
              <w:jc w:val="center"/>
              <w:rPr>
                <w:b/>
                <w:bCs/>
                <w:sz w:val="21"/>
              </w:rPr>
            </w:pPr>
            <w:r w:rsidRPr="008972ED">
              <w:rPr>
                <w:b/>
                <w:bCs/>
                <w:color w:val="FFFFFF"/>
                <w:sz w:val="21"/>
              </w:rPr>
              <w:t>Omega-3</w:t>
            </w:r>
            <w:r w:rsidRPr="008972ED">
              <w:rPr>
                <w:b/>
                <w:bCs/>
                <w:color w:val="FFFFFF"/>
                <w:spacing w:val="-15"/>
                <w:sz w:val="21"/>
              </w:rPr>
              <w:t xml:space="preserve"> </w:t>
            </w:r>
            <w:r w:rsidRPr="008972ED">
              <w:rPr>
                <w:b/>
                <w:bCs/>
                <w:color w:val="FFFFFF"/>
                <w:sz w:val="21"/>
              </w:rPr>
              <w:t>fatty acids (mg)</w:t>
            </w:r>
          </w:p>
        </w:tc>
        <w:tc>
          <w:tcPr>
            <w:tcW w:w="2154" w:type="dxa"/>
            <w:shd w:val="clear" w:color="auto" w:fill="5B9BD4"/>
            <w:vAlign w:val="center"/>
          </w:tcPr>
          <w:p w14:paraId="0580A666" w14:textId="77777777" w:rsidR="00E46B8F" w:rsidRPr="008972ED" w:rsidRDefault="00E46B8F" w:rsidP="004E3327">
            <w:pPr>
              <w:pStyle w:val="TableParagraph"/>
              <w:spacing w:before="0"/>
              <w:ind w:left="295"/>
              <w:jc w:val="center"/>
              <w:rPr>
                <w:b/>
                <w:bCs/>
                <w:sz w:val="21"/>
              </w:rPr>
            </w:pPr>
            <w:r w:rsidRPr="008972ED">
              <w:rPr>
                <w:b/>
                <w:bCs/>
                <w:color w:val="FFFFFF"/>
                <w:sz w:val="21"/>
              </w:rPr>
              <w:t>Price</w:t>
            </w:r>
            <w:r w:rsidRPr="008972ED">
              <w:rPr>
                <w:b/>
                <w:bCs/>
                <w:color w:val="FFFFFF"/>
                <w:spacing w:val="-5"/>
                <w:sz w:val="21"/>
              </w:rPr>
              <w:t xml:space="preserve"> </w:t>
            </w:r>
            <w:r w:rsidRPr="008972ED">
              <w:rPr>
                <w:b/>
                <w:bCs/>
                <w:color w:val="FFFFFF"/>
                <w:spacing w:val="-2"/>
                <w:sz w:val="21"/>
              </w:rPr>
              <w:t>guide**</w:t>
            </w:r>
          </w:p>
        </w:tc>
        <w:tc>
          <w:tcPr>
            <w:tcW w:w="2154" w:type="dxa"/>
            <w:shd w:val="clear" w:color="auto" w:fill="5B9BD4"/>
            <w:vAlign w:val="center"/>
          </w:tcPr>
          <w:p w14:paraId="3152477F" w14:textId="6C92CD3F" w:rsidR="00E46B8F" w:rsidRPr="008972ED" w:rsidRDefault="00E46B8F" w:rsidP="004E3327">
            <w:pPr>
              <w:pStyle w:val="TableParagraph"/>
              <w:spacing w:before="0"/>
              <w:ind w:left="295"/>
              <w:jc w:val="center"/>
              <w:rPr>
                <w:b/>
                <w:bCs/>
                <w:color w:val="FFFFFF"/>
                <w:sz w:val="21"/>
              </w:rPr>
            </w:pPr>
            <w:r w:rsidRPr="008972ED">
              <w:rPr>
                <w:b/>
                <w:bCs/>
                <w:color w:val="FFFFFF"/>
                <w:sz w:val="21"/>
              </w:rPr>
              <w:t xml:space="preserve">TGA </w:t>
            </w:r>
            <w:r w:rsidR="00B50074">
              <w:rPr>
                <w:b/>
                <w:bCs/>
                <w:color w:val="FFFFFF"/>
                <w:sz w:val="21"/>
              </w:rPr>
              <w:t>l</w:t>
            </w:r>
            <w:r w:rsidR="00AB030B">
              <w:rPr>
                <w:b/>
                <w:bCs/>
                <w:color w:val="FFFFFF"/>
                <w:sz w:val="21"/>
              </w:rPr>
              <w:t>ink</w:t>
            </w:r>
          </w:p>
        </w:tc>
      </w:tr>
      <w:tr w:rsidR="00E46B8F" w14:paraId="761C5F18" w14:textId="1AC32CD4" w:rsidTr="004E3327">
        <w:trPr>
          <w:trHeight w:val="1935"/>
          <w:jc w:val="center"/>
        </w:trPr>
        <w:tc>
          <w:tcPr>
            <w:tcW w:w="2154" w:type="dxa"/>
            <w:tcBorders>
              <w:right w:val="single" w:sz="4" w:space="0" w:color="FFFFFF"/>
            </w:tcBorders>
            <w:shd w:val="clear" w:color="auto" w:fill="5B9BD4"/>
            <w:vAlign w:val="center"/>
          </w:tcPr>
          <w:p w14:paraId="005E334C" w14:textId="1D60A818" w:rsidR="00E46B8F" w:rsidRDefault="00E46B8F" w:rsidP="004E3327">
            <w:pPr>
              <w:pStyle w:val="TableParagraph"/>
              <w:spacing w:before="0"/>
              <w:ind w:left="110" w:right="119" w:firstLine="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Blackmores </w:t>
            </w:r>
            <w:r>
              <w:rPr>
                <w:rFonts w:ascii="Arial"/>
                <w:b/>
                <w:color w:val="FFFFFF"/>
                <w:sz w:val="21"/>
              </w:rPr>
              <w:t>Omega Brain High DHA Fish Oil</w:t>
            </w:r>
          </w:p>
        </w:tc>
        <w:tc>
          <w:tcPr>
            <w:tcW w:w="2444" w:type="dxa"/>
            <w:shd w:val="clear" w:color="auto" w:fill="DBE5F1" w:themeFill="accent1" w:themeFillTint="33"/>
            <w:vAlign w:val="center"/>
          </w:tcPr>
          <w:p w14:paraId="0FD18853" w14:textId="727F3823" w:rsidR="00E46B8F" w:rsidRDefault="003F2DEF" w:rsidP="004E3327">
            <w:pPr>
              <w:pStyle w:val="TableParagraph"/>
              <w:spacing w:before="0"/>
              <w:ind w:left="244" w:hanging="90"/>
              <w:jc w:val="center"/>
              <w:rPr>
                <w:sz w:val="21"/>
              </w:rPr>
            </w:pPr>
            <w:r w:rsidRPr="00441495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15997B1F" wp14:editId="77B7A843">
                  <wp:extent cx="1380227" cy="1380227"/>
                  <wp:effectExtent l="0" t="0" r="0" b="0"/>
                  <wp:docPr id="1619965546" name="Picture 3" descr="A bottle of fish o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965546" name="Picture 3" descr="A bottle of fish oil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809" cy="138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shd w:val="clear" w:color="auto" w:fill="DBE5F1" w:themeFill="accent1" w:themeFillTint="33"/>
            <w:vAlign w:val="center"/>
          </w:tcPr>
          <w:p w14:paraId="69981B00" w14:textId="3A4BFA63" w:rsidR="00E46B8F" w:rsidRPr="009A2BE9" w:rsidRDefault="00E46B8F" w:rsidP="004E3327">
            <w:pPr>
              <w:pStyle w:val="TableParagraph"/>
              <w:spacing w:before="0"/>
              <w:ind w:left="244" w:hanging="90"/>
              <w:jc w:val="center"/>
              <w:rPr>
                <w:sz w:val="21"/>
              </w:rPr>
            </w:pPr>
            <w:proofErr w:type="gramStart"/>
            <w:r w:rsidRPr="009A2BE9">
              <w:rPr>
                <w:sz w:val="21"/>
              </w:rPr>
              <w:t>Contains</w:t>
            </w:r>
            <w:proofErr w:type="gramEnd"/>
            <w:r w:rsidRPr="009A2BE9">
              <w:rPr>
                <w:spacing w:val="-8"/>
                <w:sz w:val="21"/>
              </w:rPr>
              <w:t xml:space="preserve"> </w:t>
            </w:r>
            <w:r w:rsidRPr="009A2BE9">
              <w:rPr>
                <w:sz w:val="21"/>
              </w:rPr>
              <w:t>fish</w:t>
            </w:r>
            <w:r w:rsidRPr="009A2BE9">
              <w:rPr>
                <w:spacing w:val="-10"/>
                <w:sz w:val="21"/>
              </w:rPr>
              <w:t xml:space="preserve"> </w:t>
            </w:r>
            <w:r w:rsidRPr="009A2BE9">
              <w:rPr>
                <w:sz w:val="21"/>
              </w:rPr>
              <w:t>oil.</w:t>
            </w:r>
            <w:r w:rsidRPr="009A2BE9">
              <w:rPr>
                <w:spacing w:val="-7"/>
                <w:sz w:val="21"/>
              </w:rPr>
              <w:t xml:space="preserve"> </w:t>
            </w:r>
            <w:r w:rsidRPr="009A2BE9">
              <w:rPr>
                <w:sz w:val="21"/>
              </w:rPr>
              <w:t>Available</w:t>
            </w:r>
            <w:r w:rsidRPr="009A2BE9">
              <w:rPr>
                <w:spacing w:val="-10"/>
                <w:sz w:val="21"/>
              </w:rPr>
              <w:t xml:space="preserve"> </w:t>
            </w:r>
            <w:r w:rsidRPr="009A2BE9">
              <w:rPr>
                <w:sz w:val="21"/>
              </w:rPr>
              <w:t>in</w:t>
            </w:r>
            <w:r w:rsidRPr="009A2BE9">
              <w:rPr>
                <w:spacing w:val="-10"/>
                <w:sz w:val="21"/>
              </w:rPr>
              <w:t xml:space="preserve"> </w:t>
            </w:r>
            <w:r w:rsidRPr="009A2BE9">
              <w:rPr>
                <w:sz w:val="21"/>
              </w:rPr>
              <w:t xml:space="preserve">most pharmacies and can be ordered online: </w:t>
            </w:r>
            <w:hyperlink r:id="rId9">
              <w:r w:rsidRPr="009A2BE9">
                <w:rPr>
                  <w:sz w:val="21"/>
                  <w:u w:val="single" w:color="0462C1"/>
                </w:rPr>
                <w:t>www.blackmores.com.au</w:t>
              </w:r>
            </w:hyperlink>
          </w:p>
        </w:tc>
        <w:tc>
          <w:tcPr>
            <w:tcW w:w="2154" w:type="dxa"/>
            <w:shd w:val="clear" w:color="auto" w:fill="DBE5F1" w:themeFill="accent1" w:themeFillTint="33"/>
            <w:vAlign w:val="center"/>
          </w:tcPr>
          <w:p w14:paraId="0B50AF36" w14:textId="77777777" w:rsidR="00E46B8F" w:rsidRPr="009A2BE9" w:rsidRDefault="00E46B8F" w:rsidP="004E3327">
            <w:pPr>
              <w:pStyle w:val="TableParagraph"/>
              <w:spacing w:before="0"/>
              <w:ind w:left="814" w:hanging="650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Two</w:t>
            </w:r>
            <w:r w:rsidRPr="009A2BE9">
              <w:rPr>
                <w:spacing w:val="-15"/>
                <w:sz w:val="21"/>
              </w:rPr>
              <w:t xml:space="preserve"> </w:t>
            </w:r>
            <w:r w:rsidRPr="009A2BE9">
              <w:rPr>
                <w:sz w:val="21"/>
              </w:rPr>
              <w:t>capsules</w:t>
            </w:r>
            <w:r w:rsidRPr="009A2BE9">
              <w:rPr>
                <w:spacing w:val="-15"/>
                <w:sz w:val="21"/>
              </w:rPr>
              <w:t xml:space="preserve"> </w:t>
            </w:r>
            <w:r w:rsidRPr="009A2BE9">
              <w:rPr>
                <w:sz w:val="21"/>
              </w:rPr>
              <w:t xml:space="preserve">per </w:t>
            </w:r>
            <w:r w:rsidRPr="009A2BE9">
              <w:rPr>
                <w:spacing w:val="-4"/>
                <w:sz w:val="21"/>
              </w:rPr>
              <w:t>day</w:t>
            </w:r>
          </w:p>
        </w:tc>
        <w:tc>
          <w:tcPr>
            <w:tcW w:w="2154" w:type="dxa"/>
            <w:shd w:val="clear" w:color="auto" w:fill="DBE5F1" w:themeFill="accent1" w:themeFillTint="33"/>
            <w:vAlign w:val="center"/>
          </w:tcPr>
          <w:p w14:paraId="315E66C9" w14:textId="77777777" w:rsidR="00E46B8F" w:rsidRPr="009A2BE9" w:rsidRDefault="00E46B8F" w:rsidP="004E3327">
            <w:pPr>
              <w:pStyle w:val="TableParagraph"/>
              <w:spacing w:before="0"/>
              <w:ind w:left="420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DHA</w:t>
            </w:r>
            <w:r w:rsidRPr="009A2BE9">
              <w:rPr>
                <w:spacing w:val="-3"/>
                <w:sz w:val="21"/>
              </w:rPr>
              <w:t xml:space="preserve"> </w:t>
            </w:r>
            <w:r w:rsidRPr="009A2BE9">
              <w:rPr>
                <w:sz w:val="21"/>
              </w:rPr>
              <w:t>=</w:t>
            </w:r>
            <w:r w:rsidRPr="009A2BE9">
              <w:rPr>
                <w:spacing w:val="-1"/>
                <w:sz w:val="21"/>
              </w:rPr>
              <w:t xml:space="preserve"> </w:t>
            </w:r>
            <w:r w:rsidRPr="009A2BE9">
              <w:rPr>
                <w:spacing w:val="-4"/>
                <w:sz w:val="21"/>
              </w:rPr>
              <w:t>1000</w:t>
            </w:r>
          </w:p>
          <w:p w14:paraId="0D9A0164" w14:textId="77777777" w:rsidR="00E46B8F" w:rsidRPr="009A2BE9" w:rsidRDefault="00E46B8F" w:rsidP="004E3327">
            <w:pPr>
              <w:pStyle w:val="TableParagraph"/>
              <w:spacing w:before="0"/>
              <w:ind w:left="489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EPA</w:t>
            </w:r>
            <w:r w:rsidRPr="009A2BE9">
              <w:rPr>
                <w:spacing w:val="1"/>
                <w:sz w:val="21"/>
              </w:rPr>
              <w:t xml:space="preserve"> </w:t>
            </w:r>
            <w:r w:rsidRPr="009A2BE9">
              <w:rPr>
                <w:sz w:val="21"/>
              </w:rPr>
              <w:t>=</w:t>
            </w:r>
            <w:r w:rsidRPr="009A2BE9">
              <w:rPr>
                <w:spacing w:val="3"/>
                <w:sz w:val="21"/>
              </w:rPr>
              <w:t xml:space="preserve"> </w:t>
            </w:r>
            <w:r w:rsidRPr="009A2BE9">
              <w:rPr>
                <w:spacing w:val="-5"/>
                <w:sz w:val="21"/>
              </w:rPr>
              <w:t>200</w:t>
            </w:r>
          </w:p>
        </w:tc>
        <w:tc>
          <w:tcPr>
            <w:tcW w:w="2154" w:type="dxa"/>
            <w:shd w:val="clear" w:color="auto" w:fill="DBE5F1" w:themeFill="accent1" w:themeFillTint="33"/>
            <w:vAlign w:val="center"/>
          </w:tcPr>
          <w:p w14:paraId="68342108" w14:textId="1B6B09B1" w:rsidR="00E46B8F" w:rsidRPr="009A2BE9" w:rsidRDefault="00E46B8F" w:rsidP="004E3327">
            <w:pPr>
              <w:pStyle w:val="TableParagraph"/>
              <w:spacing w:before="0"/>
              <w:ind w:left="551"/>
              <w:jc w:val="center"/>
              <w:rPr>
                <w:sz w:val="21"/>
              </w:rPr>
            </w:pPr>
            <w:r w:rsidRPr="009A2BE9">
              <w:rPr>
                <w:sz w:val="21"/>
              </w:rPr>
              <w:t xml:space="preserve">$46.99 </w:t>
            </w:r>
            <w:r w:rsidRPr="009A2BE9">
              <w:rPr>
                <w:spacing w:val="-5"/>
                <w:sz w:val="21"/>
              </w:rPr>
              <w:t>(60</w:t>
            </w:r>
          </w:p>
          <w:p w14:paraId="32E42997" w14:textId="77777777" w:rsidR="00E46B8F" w:rsidRPr="009A2BE9" w:rsidRDefault="00E46B8F" w:rsidP="004E3327">
            <w:pPr>
              <w:pStyle w:val="TableParagraph"/>
              <w:spacing w:before="0"/>
              <w:ind w:left="450"/>
              <w:jc w:val="center"/>
              <w:rPr>
                <w:sz w:val="21"/>
              </w:rPr>
            </w:pPr>
            <w:r w:rsidRPr="009A2BE9">
              <w:rPr>
                <w:spacing w:val="-2"/>
                <w:sz w:val="21"/>
              </w:rPr>
              <w:t>capsules)</w:t>
            </w:r>
          </w:p>
        </w:tc>
        <w:tc>
          <w:tcPr>
            <w:tcW w:w="2154" w:type="dxa"/>
            <w:shd w:val="clear" w:color="auto" w:fill="DBE5F1" w:themeFill="accent1" w:themeFillTint="33"/>
            <w:vAlign w:val="center"/>
          </w:tcPr>
          <w:p w14:paraId="4C9B71CB" w14:textId="69CC0309" w:rsidR="00E46B8F" w:rsidRPr="009A2BE9" w:rsidRDefault="00E46B8F" w:rsidP="004E3327">
            <w:pPr>
              <w:pStyle w:val="TableParagraph"/>
              <w:spacing w:before="0"/>
              <w:ind w:left="551"/>
              <w:jc w:val="center"/>
              <w:rPr>
                <w:sz w:val="21"/>
              </w:rPr>
            </w:pPr>
            <w:hyperlink r:id="rId10" w:history="1">
              <w:r w:rsidRPr="009A2BE9">
                <w:rPr>
                  <w:rStyle w:val="Hyperlink"/>
                  <w:color w:val="auto"/>
                  <w:sz w:val="21"/>
                </w:rPr>
                <w:t>BLACKMORES OMEGA BRAIN HIGH DHA FISH OIL (294207) | Therapeutic Goods Administration (TGA)</w:t>
              </w:r>
            </w:hyperlink>
          </w:p>
        </w:tc>
      </w:tr>
      <w:tr w:rsidR="00E46B8F" w14:paraId="57EDE384" w14:textId="77777777" w:rsidTr="004E3327">
        <w:trPr>
          <w:trHeight w:val="1935"/>
          <w:jc w:val="center"/>
        </w:trPr>
        <w:tc>
          <w:tcPr>
            <w:tcW w:w="2154" w:type="dxa"/>
            <w:tcBorders>
              <w:right w:val="single" w:sz="4" w:space="0" w:color="FFFFFF"/>
            </w:tcBorders>
            <w:shd w:val="clear" w:color="auto" w:fill="5B9BD4"/>
            <w:vAlign w:val="center"/>
          </w:tcPr>
          <w:p w14:paraId="71ED6FE1" w14:textId="478BF737" w:rsidR="00E46B8F" w:rsidRDefault="00E46B8F" w:rsidP="004E3327">
            <w:pPr>
              <w:pStyle w:val="TableParagraph"/>
              <w:spacing w:before="0"/>
              <w:ind w:left="110" w:right="119" w:firstLine="5"/>
              <w:jc w:val="center"/>
              <w:rPr>
                <w:rFonts w:ascii="Arial"/>
                <w:b/>
                <w:color w:val="FFFFFF"/>
                <w:spacing w:val="-2"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Eagle Clinical Algal EPA DHA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14:paraId="466389E3" w14:textId="77777777" w:rsidR="00E46B8F" w:rsidRDefault="007B3B63" w:rsidP="004E3327">
            <w:pPr>
              <w:pStyle w:val="TableParagraph"/>
              <w:spacing w:before="0"/>
              <w:ind w:left="244" w:hanging="90"/>
              <w:jc w:val="center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09C4DA36" wp14:editId="6AD4C7B5">
                  <wp:extent cx="1364615" cy="1364615"/>
                  <wp:effectExtent l="0" t="0" r="0" b="0"/>
                  <wp:docPr id="198994192" name="Picture 2" descr="Eagle Clinical – Algal EPA DHA 60 caps - MediAdvice Pharmacy Earlw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agle Clinical – Algal EPA DHA 60 caps - MediAdvice Pharmacy Earlw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2E3239" w14:textId="77777777" w:rsidR="004F0D1A" w:rsidRPr="004F0D1A" w:rsidRDefault="004F0D1A" w:rsidP="004F0D1A"/>
          <w:p w14:paraId="7E522474" w14:textId="77777777" w:rsidR="004F0D1A" w:rsidRPr="004F0D1A" w:rsidRDefault="004F0D1A" w:rsidP="004F0D1A"/>
          <w:p w14:paraId="4CC1A57F" w14:textId="7FFE5B4B" w:rsidR="004F0D1A" w:rsidRPr="004F0D1A" w:rsidRDefault="004F0D1A" w:rsidP="004F0D1A"/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3CE9FC08" w14:textId="1B0C9520" w:rsidR="00E46B8F" w:rsidRPr="009A2BE9" w:rsidRDefault="00E46B8F" w:rsidP="004E3327">
            <w:pPr>
              <w:pStyle w:val="TableParagraph"/>
              <w:spacing w:before="0"/>
              <w:ind w:left="244" w:hanging="90"/>
              <w:jc w:val="center"/>
              <w:rPr>
                <w:sz w:val="21"/>
              </w:rPr>
            </w:pPr>
            <w:r w:rsidRPr="009A2BE9">
              <w:rPr>
                <w:sz w:val="21"/>
              </w:rPr>
              <w:t xml:space="preserve">Contains algal oil. Available online: </w:t>
            </w:r>
            <w:hyperlink r:id="rId12" w:history="1">
              <w:r w:rsidRPr="009A2BE9">
                <w:rPr>
                  <w:rStyle w:val="Hyperlink"/>
                  <w:color w:val="auto"/>
                  <w:sz w:val="21"/>
                </w:rPr>
                <w:t xml:space="preserve">Eagle Clinical Algal EPA/DHA – </w:t>
              </w:r>
              <w:proofErr w:type="spellStart"/>
              <w:r w:rsidRPr="009A2BE9">
                <w:rPr>
                  <w:rStyle w:val="Hyperlink"/>
                  <w:color w:val="auto"/>
                  <w:sz w:val="21"/>
                </w:rPr>
                <w:t>Betahealth</w:t>
              </w:r>
              <w:proofErr w:type="spellEnd"/>
            </w:hyperlink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77768AF5" w14:textId="64D76D9F" w:rsidR="00E46B8F" w:rsidRPr="009A2BE9" w:rsidRDefault="00E46B8F" w:rsidP="004E3327">
            <w:pPr>
              <w:pStyle w:val="TableParagraph"/>
              <w:spacing w:before="0"/>
              <w:ind w:left="814" w:hanging="650"/>
              <w:jc w:val="center"/>
              <w:rPr>
                <w:sz w:val="21"/>
              </w:rPr>
            </w:pPr>
            <w:r w:rsidRPr="009A2BE9">
              <w:rPr>
                <w:sz w:val="21"/>
              </w:rPr>
              <w:t xml:space="preserve">Two </w:t>
            </w:r>
            <w:proofErr w:type="spellStart"/>
            <w:proofErr w:type="gramStart"/>
            <w:r w:rsidRPr="009A2BE9">
              <w:rPr>
                <w:sz w:val="21"/>
              </w:rPr>
              <w:t>softgel</w:t>
            </w:r>
            <w:proofErr w:type="spellEnd"/>
            <w:proofErr w:type="gramEnd"/>
            <w:r w:rsidRPr="009A2BE9">
              <w:rPr>
                <w:sz w:val="21"/>
              </w:rPr>
              <w:t xml:space="preserve"> capsules per day</w:t>
            </w:r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3F285192" w14:textId="77777777" w:rsidR="00E46B8F" w:rsidRPr="009A2BE9" w:rsidRDefault="00E46B8F" w:rsidP="004E3327">
            <w:pPr>
              <w:pStyle w:val="TableParagraph"/>
              <w:spacing w:before="0"/>
              <w:ind w:left="480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DHA = 600</w:t>
            </w:r>
          </w:p>
          <w:p w14:paraId="19BDC0DB" w14:textId="104DFEF7" w:rsidR="00E46B8F" w:rsidRPr="009A2BE9" w:rsidRDefault="00E46B8F" w:rsidP="004E3327">
            <w:pPr>
              <w:pStyle w:val="TableParagraph"/>
              <w:spacing w:before="0"/>
              <w:ind w:left="480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EPA = 300</w:t>
            </w:r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1F9C621C" w14:textId="429316CB" w:rsidR="00E46B8F" w:rsidRPr="009A2BE9" w:rsidRDefault="00E46B8F" w:rsidP="004E3327">
            <w:pPr>
              <w:pStyle w:val="TableParagraph"/>
              <w:spacing w:before="0"/>
              <w:ind w:left="401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$129.95 (60 capsules)</w:t>
            </w:r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4D6C89C3" w14:textId="490AFE38" w:rsidR="00E46B8F" w:rsidRPr="009A2BE9" w:rsidRDefault="00E46B8F" w:rsidP="004E3327">
            <w:pPr>
              <w:pStyle w:val="TableParagraph"/>
              <w:spacing w:before="0"/>
              <w:ind w:left="551"/>
              <w:jc w:val="center"/>
              <w:rPr>
                <w:sz w:val="21"/>
              </w:rPr>
            </w:pPr>
            <w:hyperlink r:id="rId13" w:history="1">
              <w:r w:rsidRPr="009A2BE9">
                <w:rPr>
                  <w:rStyle w:val="Hyperlink"/>
                  <w:color w:val="auto"/>
                  <w:sz w:val="21"/>
                </w:rPr>
                <w:t>Eagle Clinical Algal EPA DHA (448086) | Therapeutic Goods Administration (TGA)</w:t>
              </w:r>
            </w:hyperlink>
          </w:p>
        </w:tc>
      </w:tr>
      <w:tr w:rsidR="00E46B8F" w14:paraId="2686D4C3" w14:textId="77777777" w:rsidTr="004E3327">
        <w:trPr>
          <w:trHeight w:val="1935"/>
          <w:jc w:val="center"/>
        </w:trPr>
        <w:tc>
          <w:tcPr>
            <w:tcW w:w="2154" w:type="dxa"/>
            <w:tcBorders>
              <w:right w:val="single" w:sz="4" w:space="0" w:color="FFFFFF"/>
            </w:tcBorders>
            <w:shd w:val="clear" w:color="auto" w:fill="5B9BD4"/>
            <w:vAlign w:val="center"/>
          </w:tcPr>
          <w:p w14:paraId="4C69422A" w14:textId="3489C03B" w:rsidR="00E46B8F" w:rsidRDefault="00E46B8F" w:rsidP="004E3327">
            <w:pPr>
              <w:pStyle w:val="TableParagraph"/>
              <w:spacing w:before="0"/>
              <w:ind w:left="110" w:right="119" w:firstLine="5"/>
              <w:jc w:val="center"/>
              <w:rPr>
                <w:rFonts w:ascii="Arial" w:hAnsi="Arial"/>
                <w:b/>
                <w:color w:val="FFFFFF"/>
                <w:spacing w:val="-2"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lastRenderedPageBreak/>
              <w:t xml:space="preserve">Swisse </w:t>
            </w:r>
            <w:proofErr w:type="spellStart"/>
            <w:r>
              <w:rPr>
                <w:rFonts w:ascii="Arial"/>
                <w:b/>
                <w:color w:val="FFFFFF"/>
                <w:spacing w:val="-2"/>
                <w:sz w:val="21"/>
              </w:rPr>
              <w:t>Ultiboost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 Pregnancy </w:t>
            </w:r>
            <w:r>
              <w:rPr>
                <w:rFonts w:ascii="Arial"/>
                <w:b/>
                <w:color w:val="FFFFFF"/>
                <w:sz w:val="21"/>
              </w:rPr>
              <w:t>DHA</w:t>
            </w:r>
            <w:r>
              <w:rPr>
                <w:rFonts w:ascii="Arial"/>
                <w:b/>
                <w:color w:val="FFFFFF"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z w:val="21"/>
              </w:rPr>
              <w:t>Fish</w:t>
            </w:r>
            <w:r>
              <w:rPr>
                <w:rFonts w:ascii="Arial"/>
                <w:b/>
                <w:color w:val="FFFFFF"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z w:val="21"/>
              </w:rPr>
              <w:t>Oil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14:paraId="4AB0667F" w14:textId="21776540" w:rsidR="00E46B8F" w:rsidRDefault="005A64C2" w:rsidP="004E3327">
            <w:pPr>
              <w:pStyle w:val="TableParagraph"/>
              <w:spacing w:before="0"/>
              <w:ind w:left="244" w:hanging="90"/>
              <w:jc w:val="center"/>
              <w:rPr>
                <w:sz w:val="21"/>
              </w:rPr>
            </w:pPr>
            <w:r w:rsidRPr="00441495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7C74114D" wp14:editId="5B6B7B48">
                  <wp:extent cx="1328468" cy="1328468"/>
                  <wp:effectExtent l="0" t="0" r="0" b="0"/>
                  <wp:docPr id="115432114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66" cy="13335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39C260B0" w14:textId="097438B6" w:rsidR="00E46B8F" w:rsidRPr="009A2BE9" w:rsidRDefault="00E46B8F" w:rsidP="004E3327">
            <w:pPr>
              <w:pStyle w:val="TableParagraph"/>
              <w:spacing w:before="0"/>
              <w:ind w:left="244" w:hanging="90"/>
              <w:jc w:val="center"/>
              <w:rPr>
                <w:sz w:val="21"/>
              </w:rPr>
            </w:pPr>
            <w:proofErr w:type="gramStart"/>
            <w:r w:rsidRPr="009A2BE9">
              <w:rPr>
                <w:sz w:val="21"/>
              </w:rPr>
              <w:t>Contains</w:t>
            </w:r>
            <w:proofErr w:type="gramEnd"/>
            <w:r w:rsidRPr="009A2BE9">
              <w:rPr>
                <w:spacing w:val="-11"/>
                <w:sz w:val="21"/>
              </w:rPr>
              <w:t xml:space="preserve"> </w:t>
            </w:r>
            <w:r w:rsidRPr="009A2BE9">
              <w:rPr>
                <w:sz w:val="21"/>
              </w:rPr>
              <w:t>fish</w:t>
            </w:r>
            <w:r w:rsidRPr="009A2BE9">
              <w:rPr>
                <w:spacing w:val="-13"/>
                <w:sz w:val="21"/>
              </w:rPr>
              <w:t xml:space="preserve"> </w:t>
            </w:r>
            <w:r w:rsidRPr="009A2BE9">
              <w:rPr>
                <w:sz w:val="21"/>
              </w:rPr>
              <w:t>oil.</w:t>
            </w:r>
            <w:r w:rsidRPr="009A2BE9">
              <w:rPr>
                <w:spacing w:val="-10"/>
                <w:sz w:val="21"/>
              </w:rPr>
              <w:t xml:space="preserve"> </w:t>
            </w:r>
            <w:r w:rsidRPr="009A2BE9">
              <w:rPr>
                <w:sz w:val="21"/>
              </w:rPr>
              <w:t>Available</w:t>
            </w:r>
            <w:r w:rsidRPr="009A2BE9">
              <w:rPr>
                <w:spacing w:val="-13"/>
                <w:sz w:val="21"/>
              </w:rPr>
              <w:t xml:space="preserve"> </w:t>
            </w:r>
            <w:r w:rsidRPr="009A2BE9">
              <w:rPr>
                <w:sz w:val="21"/>
              </w:rPr>
              <w:t xml:space="preserve">online: </w:t>
            </w:r>
            <w:hyperlink r:id="rId15" w:history="1">
              <w:r w:rsidRPr="009A2BE9">
                <w:rPr>
                  <w:rStyle w:val="Hyperlink"/>
                  <w:color w:val="auto"/>
                </w:rPr>
                <w:t>https://swisse.com.au</w:t>
              </w:r>
            </w:hyperlink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71040F95" w14:textId="5A69EE5D" w:rsidR="00E46B8F" w:rsidRPr="009A2BE9" w:rsidRDefault="00E46B8F" w:rsidP="004E3327">
            <w:pPr>
              <w:pStyle w:val="TableParagraph"/>
              <w:spacing w:before="0"/>
              <w:ind w:left="814" w:hanging="650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Three soft capsules</w:t>
            </w:r>
            <w:r w:rsidRPr="009A2BE9">
              <w:rPr>
                <w:spacing w:val="-15"/>
                <w:sz w:val="21"/>
              </w:rPr>
              <w:t xml:space="preserve"> </w:t>
            </w:r>
            <w:r w:rsidRPr="009A2BE9">
              <w:rPr>
                <w:sz w:val="21"/>
              </w:rPr>
              <w:t>per</w:t>
            </w:r>
            <w:r w:rsidRPr="009A2BE9">
              <w:rPr>
                <w:spacing w:val="-15"/>
                <w:sz w:val="21"/>
              </w:rPr>
              <w:t xml:space="preserve"> </w:t>
            </w:r>
            <w:r w:rsidRPr="009A2BE9">
              <w:rPr>
                <w:sz w:val="21"/>
              </w:rPr>
              <w:t>day</w:t>
            </w:r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2CEA43D2" w14:textId="77777777" w:rsidR="00E46B8F" w:rsidRPr="009A2BE9" w:rsidRDefault="00E46B8F" w:rsidP="004E3327">
            <w:pPr>
              <w:pStyle w:val="TableParagraph"/>
              <w:spacing w:before="0"/>
              <w:ind w:left="479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DHA</w:t>
            </w:r>
            <w:r w:rsidRPr="009A2BE9">
              <w:rPr>
                <w:spacing w:val="-3"/>
                <w:sz w:val="21"/>
              </w:rPr>
              <w:t xml:space="preserve"> </w:t>
            </w:r>
            <w:r w:rsidRPr="009A2BE9">
              <w:rPr>
                <w:sz w:val="21"/>
              </w:rPr>
              <w:t>=</w:t>
            </w:r>
            <w:r w:rsidRPr="009A2BE9">
              <w:rPr>
                <w:spacing w:val="-1"/>
                <w:sz w:val="21"/>
              </w:rPr>
              <w:t xml:space="preserve"> </w:t>
            </w:r>
            <w:r w:rsidRPr="009A2BE9">
              <w:rPr>
                <w:spacing w:val="-5"/>
                <w:sz w:val="21"/>
              </w:rPr>
              <w:t>750</w:t>
            </w:r>
          </w:p>
          <w:p w14:paraId="43D6CA8E" w14:textId="3238A78E" w:rsidR="00E46B8F" w:rsidRPr="009A2BE9" w:rsidRDefault="00E46B8F" w:rsidP="004E3327">
            <w:pPr>
              <w:pStyle w:val="TableParagraph"/>
              <w:spacing w:before="0"/>
              <w:ind w:left="421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EPA</w:t>
            </w:r>
            <w:r w:rsidRPr="009A2BE9">
              <w:rPr>
                <w:spacing w:val="1"/>
                <w:sz w:val="21"/>
              </w:rPr>
              <w:t xml:space="preserve"> </w:t>
            </w:r>
            <w:r w:rsidRPr="009A2BE9">
              <w:rPr>
                <w:sz w:val="21"/>
              </w:rPr>
              <w:t>=</w:t>
            </w:r>
            <w:r w:rsidRPr="009A2BE9">
              <w:rPr>
                <w:spacing w:val="3"/>
                <w:sz w:val="21"/>
              </w:rPr>
              <w:t xml:space="preserve"> </w:t>
            </w:r>
            <w:r w:rsidRPr="009A2BE9">
              <w:rPr>
                <w:spacing w:val="-5"/>
                <w:sz w:val="21"/>
              </w:rPr>
              <w:t>150</w:t>
            </w:r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22257424" w14:textId="4280CB60" w:rsidR="00E46B8F" w:rsidRPr="009A2BE9" w:rsidRDefault="00E46B8F" w:rsidP="004E3327">
            <w:pPr>
              <w:pStyle w:val="TableParagraph"/>
              <w:spacing w:before="0"/>
              <w:ind w:left="401"/>
              <w:jc w:val="center"/>
              <w:rPr>
                <w:sz w:val="21"/>
              </w:rPr>
            </w:pPr>
            <w:r w:rsidRPr="009A2BE9">
              <w:rPr>
                <w:sz w:val="21"/>
              </w:rPr>
              <w:t>$44.99</w:t>
            </w:r>
            <w:r w:rsidRPr="009A2BE9">
              <w:rPr>
                <w:spacing w:val="-15"/>
                <w:sz w:val="21"/>
              </w:rPr>
              <w:t xml:space="preserve"> </w:t>
            </w:r>
            <w:r w:rsidRPr="009A2BE9">
              <w:rPr>
                <w:sz w:val="21"/>
              </w:rPr>
              <w:t>(30</w:t>
            </w:r>
            <w:r w:rsidRPr="009A2BE9">
              <w:rPr>
                <w:spacing w:val="-15"/>
                <w:sz w:val="21"/>
              </w:rPr>
              <w:t xml:space="preserve"> </w:t>
            </w:r>
            <w:r w:rsidRPr="009A2BE9">
              <w:rPr>
                <w:sz w:val="21"/>
              </w:rPr>
              <w:t xml:space="preserve">soft </w:t>
            </w:r>
            <w:r w:rsidRPr="009A2BE9">
              <w:rPr>
                <w:spacing w:val="-2"/>
                <w:sz w:val="21"/>
              </w:rPr>
              <w:t>capsules)</w:t>
            </w:r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14:paraId="11E558A8" w14:textId="165B17D1" w:rsidR="00E46B8F" w:rsidRPr="009A2BE9" w:rsidRDefault="00E46B8F" w:rsidP="004E3327">
            <w:pPr>
              <w:pStyle w:val="TableParagraph"/>
              <w:spacing w:before="0"/>
              <w:ind w:left="551"/>
              <w:jc w:val="center"/>
              <w:rPr>
                <w:sz w:val="21"/>
              </w:rPr>
            </w:pPr>
            <w:hyperlink r:id="rId16" w:history="1">
              <w:r w:rsidRPr="009A2BE9">
                <w:rPr>
                  <w:rStyle w:val="Hyperlink"/>
                  <w:color w:val="auto"/>
                  <w:sz w:val="21"/>
                </w:rPr>
                <w:t xml:space="preserve">Swisse </w:t>
              </w:r>
              <w:proofErr w:type="spellStart"/>
              <w:r w:rsidRPr="009A2BE9">
                <w:rPr>
                  <w:rStyle w:val="Hyperlink"/>
                  <w:color w:val="auto"/>
                  <w:sz w:val="21"/>
                </w:rPr>
                <w:t>Ultiboost</w:t>
              </w:r>
              <w:proofErr w:type="spellEnd"/>
              <w:r w:rsidRPr="009A2BE9">
                <w:rPr>
                  <w:rStyle w:val="Hyperlink"/>
                  <w:color w:val="auto"/>
                  <w:sz w:val="21"/>
                </w:rPr>
                <w:t xml:space="preserve"> Pregnancy DHA Fish Oil (392035) | Therapeutic Goods Administration (TGA)</w:t>
              </w:r>
            </w:hyperlink>
          </w:p>
        </w:tc>
      </w:tr>
    </w:tbl>
    <w:p w14:paraId="7104E2FC" w14:textId="77777777" w:rsidR="00C25506" w:rsidRPr="00C25506" w:rsidRDefault="00C25506" w:rsidP="00C25506">
      <w:pPr>
        <w:pStyle w:val="BodyText"/>
        <w:spacing w:before="264"/>
        <w:ind w:left="2"/>
        <w:rPr>
          <w:b w:val="0"/>
          <w:bCs w:val="0"/>
        </w:rPr>
      </w:pPr>
      <w:r w:rsidRPr="00C25506">
        <w:rPr>
          <w:b w:val="0"/>
          <w:bCs w:val="0"/>
        </w:rPr>
        <w:t>*DHA&amp;EPA, Docosahexaenoic acid &amp; Eicosapentaenoic acid</w:t>
      </w:r>
    </w:p>
    <w:p w14:paraId="0764C63B" w14:textId="54A17025" w:rsidR="000E60A2" w:rsidRDefault="00C25506" w:rsidP="00980F2F">
      <w:pPr>
        <w:pStyle w:val="BodyText"/>
        <w:spacing w:before="264"/>
        <w:ind w:left="2"/>
      </w:pPr>
      <w:r w:rsidRPr="00C25506">
        <w:rPr>
          <w:b w:val="0"/>
          <w:bCs w:val="0"/>
        </w:rPr>
        <w:t>**Recommended Retail Price if accessible (subject to change)</w:t>
      </w:r>
    </w:p>
    <w:sectPr w:rsidR="000E60A2" w:rsidSect="008554FD">
      <w:headerReference w:type="default" r:id="rId17"/>
      <w:footerReference w:type="default" r:id="rId18"/>
      <w:pgSz w:w="16840" w:h="11910" w:orient="landscape"/>
      <w:pgMar w:top="720" w:right="720" w:bottom="720" w:left="720" w:header="710" w:footer="6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515B" w14:textId="77777777" w:rsidR="00EE04D8" w:rsidRDefault="00EE04D8">
      <w:r>
        <w:separator/>
      </w:r>
    </w:p>
  </w:endnote>
  <w:endnote w:type="continuationSeparator" w:id="0">
    <w:p w14:paraId="5B519531" w14:textId="77777777" w:rsidR="00EE04D8" w:rsidRDefault="00EE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EB19" w14:textId="77777777" w:rsidR="000E60A2" w:rsidRDefault="00A6180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69ACB707" wp14:editId="1CF9B335">
              <wp:simplePos x="0" y="0"/>
              <wp:positionH relativeFrom="page">
                <wp:posOffset>707571</wp:posOffset>
              </wp:positionH>
              <wp:positionV relativeFrom="page">
                <wp:posOffset>7032171</wp:posOffset>
              </wp:positionV>
              <wp:extent cx="3907972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7972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61EC7" w14:textId="3AC17A46" w:rsidR="000E60A2" w:rsidRDefault="00A6180D" w:rsidP="0055437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Supplement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List_low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omega-3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status_V</w:t>
                          </w:r>
                          <w:r w:rsidR="000104E0">
                            <w:rPr>
                              <w:rFonts w:ascii="Calibri"/>
                            </w:rPr>
                            <w:t>8</w:t>
                          </w:r>
                          <w:r>
                            <w:rPr>
                              <w:rFonts w:ascii="Calibri"/>
                            </w:rPr>
                            <w:t>_</w:t>
                          </w:r>
                          <w:r w:rsidR="00554370">
                            <w:rPr>
                              <w:rFonts w:ascii="Calibri"/>
                            </w:rPr>
                            <w:t>16</w:t>
                          </w:r>
                          <w:r w:rsidR="000104E0">
                            <w:rPr>
                              <w:rFonts w:ascii="Calibri"/>
                            </w:rPr>
                            <w:t>-10-2025</w:t>
                          </w:r>
                          <w:r w:rsidR="004F0D1A">
                            <w:rPr>
                              <w:rFonts w:ascii="Calibri"/>
                            </w:rPr>
                            <w:t>_FINAL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CB7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7pt;margin-top:553.7pt;width:307.7pt;height:12pt;z-index:-1584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" filled="f" stroked="f">
              <v:textbox inset="0,0,0,0">
                <w:txbxContent>
                  <w:p w14:paraId="09861EC7" w14:textId="3AC17A46" w:rsidR="000E60A2" w:rsidRDefault="00A6180D" w:rsidP="0055437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Supplement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</w:rPr>
                      <w:t>List_low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omega-3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status_V</w:t>
                    </w:r>
                    <w:r w:rsidR="000104E0">
                      <w:rPr>
                        <w:rFonts w:ascii="Calibri"/>
                      </w:rPr>
                      <w:t>8</w:t>
                    </w:r>
                    <w:r>
                      <w:rPr>
                        <w:rFonts w:ascii="Calibri"/>
                      </w:rPr>
                      <w:t>_</w:t>
                    </w:r>
                    <w:r w:rsidR="00554370">
                      <w:rPr>
                        <w:rFonts w:ascii="Calibri"/>
                      </w:rPr>
                      <w:t>16</w:t>
                    </w:r>
                    <w:r w:rsidR="000104E0">
                      <w:rPr>
                        <w:rFonts w:ascii="Calibri"/>
                      </w:rPr>
                      <w:t>-10-2025</w:t>
                    </w:r>
                    <w:r w:rsidR="004F0D1A">
                      <w:rPr>
                        <w:rFonts w:ascii="Calibri"/>
                      </w:rPr>
                      <w:t>_FINAL</w:t>
                    </w:r>
                    <w:r>
                      <w:rPr>
                        <w:rFonts w:ascii="Calibri"/>
                        <w:spacing w:val="-2"/>
                      </w:rPr>
                      <w:t>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D68E" w14:textId="77777777" w:rsidR="00EE04D8" w:rsidRDefault="00EE04D8">
      <w:r>
        <w:separator/>
      </w:r>
    </w:p>
  </w:footnote>
  <w:footnote w:type="continuationSeparator" w:id="0">
    <w:p w14:paraId="2A3F9968" w14:textId="77777777" w:rsidR="00EE04D8" w:rsidRDefault="00EE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55C7" w14:textId="77777777" w:rsidR="000E60A2" w:rsidRDefault="00A6180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69056" behindDoc="1" locked="0" layoutInCell="1" allowOverlap="1" wp14:anchorId="4C34D8CB" wp14:editId="226DCF0C">
          <wp:simplePos x="0" y="0"/>
          <wp:positionH relativeFrom="page">
            <wp:posOffset>7108514</wp:posOffset>
          </wp:positionH>
          <wp:positionV relativeFrom="page">
            <wp:posOffset>450850</wp:posOffset>
          </wp:positionV>
          <wp:extent cx="2790327" cy="742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0327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A2"/>
    <w:rsid w:val="000104E0"/>
    <w:rsid w:val="00026EF2"/>
    <w:rsid w:val="00065D79"/>
    <w:rsid w:val="00081D20"/>
    <w:rsid w:val="0008697D"/>
    <w:rsid w:val="00086A6E"/>
    <w:rsid w:val="000905D2"/>
    <w:rsid w:val="000A4D5F"/>
    <w:rsid w:val="000D7B53"/>
    <w:rsid w:val="000E60A2"/>
    <w:rsid w:val="0014434A"/>
    <w:rsid w:val="00146CB9"/>
    <w:rsid w:val="00167B13"/>
    <w:rsid w:val="00194322"/>
    <w:rsid w:val="001A7ABD"/>
    <w:rsid w:val="001D66C0"/>
    <w:rsid w:val="001F0583"/>
    <w:rsid w:val="001F572A"/>
    <w:rsid w:val="002056A7"/>
    <w:rsid w:val="002829BE"/>
    <w:rsid w:val="0028478F"/>
    <w:rsid w:val="00297A13"/>
    <w:rsid w:val="002A67C7"/>
    <w:rsid w:val="002A7D39"/>
    <w:rsid w:val="002C7B02"/>
    <w:rsid w:val="002D6995"/>
    <w:rsid w:val="00390463"/>
    <w:rsid w:val="003B1B45"/>
    <w:rsid w:val="003D6F08"/>
    <w:rsid w:val="003F2DEF"/>
    <w:rsid w:val="00434613"/>
    <w:rsid w:val="00460E1D"/>
    <w:rsid w:val="00470AB7"/>
    <w:rsid w:val="0047334D"/>
    <w:rsid w:val="0048045F"/>
    <w:rsid w:val="004A3E6F"/>
    <w:rsid w:val="004D3956"/>
    <w:rsid w:val="004E293A"/>
    <w:rsid w:val="004E3327"/>
    <w:rsid w:val="004F0D1A"/>
    <w:rsid w:val="00504E77"/>
    <w:rsid w:val="00554370"/>
    <w:rsid w:val="00555245"/>
    <w:rsid w:val="0056234C"/>
    <w:rsid w:val="005A64C2"/>
    <w:rsid w:val="005C31F7"/>
    <w:rsid w:val="005F2B87"/>
    <w:rsid w:val="00610CEA"/>
    <w:rsid w:val="00642DC7"/>
    <w:rsid w:val="006465A4"/>
    <w:rsid w:val="0069243A"/>
    <w:rsid w:val="006938C9"/>
    <w:rsid w:val="006B4ACF"/>
    <w:rsid w:val="006E63F6"/>
    <w:rsid w:val="006F6781"/>
    <w:rsid w:val="007133B4"/>
    <w:rsid w:val="00720A9F"/>
    <w:rsid w:val="0074189B"/>
    <w:rsid w:val="0075623E"/>
    <w:rsid w:val="00775480"/>
    <w:rsid w:val="00780B39"/>
    <w:rsid w:val="0078300F"/>
    <w:rsid w:val="007B3B63"/>
    <w:rsid w:val="007F242D"/>
    <w:rsid w:val="00825A24"/>
    <w:rsid w:val="00831D37"/>
    <w:rsid w:val="00843108"/>
    <w:rsid w:val="00851348"/>
    <w:rsid w:val="008554FD"/>
    <w:rsid w:val="00876013"/>
    <w:rsid w:val="008972ED"/>
    <w:rsid w:val="008D010F"/>
    <w:rsid w:val="008D5BF0"/>
    <w:rsid w:val="00914716"/>
    <w:rsid w:val="009375A7"/>
    <w:rsid w:val="00980F2F"/>
    <w:rsid w:val="00993657"/>
    <w:rsid w:val="009A2BE9"/>
    <w:rsid w:val="009A2FE2"/>
    <w:rsid w:val="009E5674"/>
    <w:rsid w:val="009F4B7B"/>
    <w:rsid w:val="00A158C8"/>
    <w:rsid w:val="00A307F9"/>
    <w:rsid w:val="00A326D0"/>
    <w:rsid w:val="00A54CD4"/>
    <w:rsid w:val="00A6180D"/>
    <w:rsid w:val="00A651BB"/>
    <w:rsid w:val="00A669BE"/>
    <w:rsid w:val="00A960A9"/>
    <w:rsid w:val="00AB030B"/>
    <w:rsid w:val="00AD4B5E"/>
    <w:rsid w:val="00B115FC"/>
    <w:rsid w:val="00B32862"/>
    <w:rsid w:val="00B50074"/>
    <w:rsid w:val="00B75C02"/>
    <w:rsid w:val="00BB3D9E"/>
    <w:rsid w:val="00BE16B3"/>
    <w:rsid w:val="00C0325D"/>
    <w:rsid w:val="00C06C75"/>
    <w:rsid w:val="00C25506"/>
    <w:rsid w:val="00C44E7C"/>
    <w:rsid w:val="00CD5B28"/>
    <w:rsid w:val="00D017A9"/>
    <w:rsid w:val="00D01BEC"/>
    <w:rsid w:val="00D3316B"/>
    <w:rsid w:val="00D63340"/>
    <w:rsid w:val="00D848F1"/>
    <w:rsid w:val="00DA1148"/>
    <w:rsid w:val="00DE56F2"/>
    <w:rsid w:val="00E06509"/>
    <w:rsid w:val="00E22183"/>
    <w:rsid w:val="00E46B8F"/>
    <w:rsid w:val="00E76959"/>
    <w:rsid w:val="00ED5FFA"/>
    <w:rsid w:val="00EE04D8"/>
    <w:rsid w:val="00EF2FEF"/>
    <w:rsid w:val="00F12CCC"/>
    <w:rsid w:val="00F21535"/>
    <w:rsid w:val="00F32989"/>
    <w:rsid w:val="00F36D0C"/>
    <w:rsid w:val="00F4004F"/>
    <w:rsid w:val="00F55173"/>
    <w:rsid w:val="00F837ED"/>
    <w:rsid w:val="00FB213C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947AA"/>
  <w15:docId w15:val="{2B48093C-5A33-453A-AB76-C839509E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38"/>
      <w:ind w:left="332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8"/>
    </w:pPr>
  </w:style>
  <w:style w:type="paragraph" w:styleId="Header">
    <w:name w:val="header"/>
    <w:basedOn w:val="Normal"/>
    <w:link w:val="HeaderChar"/>
    <w:uiPriority w:val="99"/>
    <w:unhideWhenUsed/>
    <w:rsid w:val="00010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4E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10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4E0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3D6F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F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F08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08"/>
    <w:rPr>
      <w:rFonts w:ascii="Arial MT" w:eastAsia="Arial MT" w:hAnsi="Arial MT" w:cs="Arial M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56A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030B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a.gov.au/resources/artg/44808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ga.gov.au/resources/australian-register-therapeutic-goods-artg" TargetMode="External"/><Relationship Id="rId12" Type="http://schemas.openxmlformats.org/officeDocument/2006/relationships/hyperlink" Target="https://betahealth.com.au/products/eagle-clinical-algal-epa-dh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ga.gov.au/resources/artg/3920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swisse.com.au" TargetMode="External"/><Relationship Id="rId10" Type="http://schemas.openxmlformats.org/officeDocument/2006/relationships/hyperlink" Target="https://www.tga.gov.au/resources/artg/29420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ackmores.com.au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6397-1E36-48DC-9421-F7A7030C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1911</Characters>
  <Application>Microsoft Office Word</Application>
  <DocSecurity>0</DocSecurity>
  <Lines>238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Makrides</dc:creator>
  <cp:lastModifiedBy>Lilliana Chrysanthe Drapaniotis</cp:lastModifiedBy>
  <cp:revision>9</cp:revision>
  <dcterms:created xsi:type="dcterms:W3CDTF">2025-11-06T03:20:00Z</dcterms:created>
  <dcterms:modified xsi:type="dcterms:W3CDTF">2025-11-13T23:45:00Z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2025-10-02T00:00:00Z</vt:filetime>
  </property>
</Properties>
</file>